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方正小标宋简体" w:eastAsia="方正小标宋简体"/>
          <w:b/>
          <w:sz w:val="36"/>
          <w:szCs w:val="36"/>
        </w:rPr>
      </w:pPr>
      <w:r>
        <w:rPr>
          <w:rFonts w:hint="eastAsia" w:asciiTheme="minorEastAsia" w:hAnsiTheme="minorEastAsia"/>
          <w:b/>
          <w:sz w:val="28"/>
          <w:szCs w:val="28"/>
        </w:rPr>
        <w:t>附件二：</w:t>
      </w:r>
      <w:r>
        <w:rPr>
          <w:rFonts w:hint="eastAsia" w:ascii="方正小标宋简体" w:eastAsia="方正小标宋简体"/>
          <w:b/>
          <w:sz w:val="36"/>
          <w:szCs w:val="36"/>
        </w:rPr>
        <w:t xml:space="preserve">           徐州工业职业技术学院安全风险隐患排查自查清单</w:t>
      </w:r>
    </w:p>
    <w:p>
      <w:pPr>
        <w:rPr>
          <w:sz w:val="24"/>
        </w:rPr>
      </w:pPr>
      <w:r>
        <w:rPr>
          <w:rFonts w:hint="eastAsia"/>
        </w:rPr>
        <w:t xml:space="preserve">   </w:t>
      </w:r>
      <w:r>
        <w:rPr>
          <w:rFonts w:hint="eastAsia"/>
          <w:sz w:val="24"/>
        </w:rPr>
        <w:t xml:space="preserve">  </w:t>
      </w:r>
    </w:p>
    <w:p>
      <w:pPr>
        <w:rPr>
          <w:sz w:val="24"/>
        </w:rPr>
      </w:pPr>
      <w:r>
        <w:rPr>
          <w:rFonts w:hint="eastAsia"/>
          <w:sz w:val="24"/>
        </w:rPr>
        <w:t xml:space="preserve">单位名称（盖章）： </w:t>
      </w:r>
      <w:r>
        <w:rPr>
          <w:rFonts w:hint="eastAsia"/>
          <w:sz w:val="24"/>
          <w:u w:val="single"/>
        </w:rPr>
        <w:t xml:space="preserve"> </w:t>
      </w:r>
      <w:r>
        <w:rPr>
          <w:rFonts w:hint="eastAsia"/>
          <w:sz w:val="24"/>
          <w:u w:val="single"/>
          <w:lang w:eastAsia="zh-CN"/>
        </w:rPr>
        <w:t>马克思主义学院</w:t>
      </w:r>
      <w:r>
        <w:rPr>
          <w:rFonts w:hint="eastAsia"/>
          <w:sz w:val="24"/>
          <w:u w:val="single"/>
        </w:rPr>
        <w:t xml:space="preserve">       </w:t>
      </w:r>
      <w:r>
        <w:rPr>
          <w:rFonts w:hint="eastAsia"/>
          <w:sz w:val="24"/>
        </w:rPr>
        <w:t xml:space="preserve">           负责人：</w:t>
      </w:r>
      <w:r>
        <w:rPr>
          <w:rFonts w:hint="eastAsia"/>
          <w:sz w:val="24"/>
          <w:u w:val="single"/>
        </w:rPr>
        <w:t xml:space="preserve">                </w:t>
      </w:r>
      <w:r>
        <w:rPr>
          <w:rFonts w:hint="eastAsia"/>
          <w:sz w:val="24"/>
        </w:rPr>
        <w:t xml:space="preserve">            排查日期：</w:t>
      </w:r>
      <w:r>
        <w:rPr>
          <w:rFonts w:hint="eastAsia"/>
          <w:sz w:val="24"/>
          <w:u w:val="single"/>
        </w:rPr>
        <w:t xml:space="preserve"> </w:t>
      </w:r>
      <w:r>
        <w:rPr>
          <w:rFonts w:hint="eastAsia"/>
          <w:sz w:val="24"/>
          <w:u w:val="single"/>
          <w:lang w:val="en-US" w:eastAsia="zh-CN"/>
        </w:rPr>
        <w:t>2021</w:t>
      </w:r>
      <w:r>
        <w:rPr>
          <w:rFonts w:hint="eastAsia"/>
          <w:sz w:val="24"/>
        </w:rPr>
        <w:t>年</w:t>
      </w:r>
      <w:r>
        <w:rPr>
          <w:rFonts w:hint="eastAsia"/>
          <w:sz w:val="24"/>
          <w:u w:val="single"/>
        </w:rPr>
        <w:t xml:space="preserve"> </w:t>
      </w:r>
      <w:r>
        <w:rPr>
          <w:rFonts w:hint="eastAsia"/>
          <w:sz w:val="24"/>
          <w:u w:val="single"/>
          <w:lang w:val="en-US" w:eastAsia="zh-CN"/>
        </w:rPr>
        <w:t>6</w:t>
      </w:r>
      <w:r>
        <w:rPr>
          <w:rFonts w:hint="eastAsia"/>
          <w:sz w:val="24"/>
          <w:u w:val="single"/>
        </w:rPr>
        <w:t xml:space="preserve">  </w:t>
      </w:r>
      <w:r>
        <w:rPr>
          <w:rFonts w:hint="eastAsia"/>
          <w:sz w:val="24"/>
        </w:rPr>
        <w:t>月</w:t>
      </w:r>
      <w:r>
        <w:rPr>
          <w:rFonts w:hint="eastAsia"/>
          <w:sz w:val="24"/>
          <w:u w:val="single"/>
        </w:rPr>
        <w:t xml:space="preserve"> </w:t>
      </w:r>
      <w:r>
        <w:rPr>
          <w:rFonts w:hint="eastAsia"/>
          <w:sz w:val="24"/>
          <w:u w:val="single"/>
          <w:lang w:val="en-US" w:eastAsia="zh-CN"/>
        </w:rPr>
        <w:t>21</w:t>
      </w:r>
      <w:bookmarkStart w:id="0" w:name="_GoBack"/>
      <w:bookmarkEnd w:id="0"/>
      <w:r>
        <w:rPr>
          <w:rFonts w:hint="eastAsia"/>
          <w:sz w:val="24"/>
          <w:u w:val="single"/>
        </w:rPr>
        <w:t xml:space="preserve"> </w:t>
      </w:r>
      <w:r>
        <w:rPr>
          <w:rFonts w:hint="eastAsia"/>
          <w:sz w:val="24"/>
        </w:rPr>
        <w:t>日</w:t>
      </w:r>
    </w:p>
    <w:p>
      <w:pPr>
        <w:rPr>
          <w:sz w:val="2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119"/>
        <w:gridCol w:w="2693"/>
        <w:gridCol w:w="851"/>
        <w:gridCol w:w="3543"/>
        <w:gridCol w:w="1134"/>
        <w:gridCol w:w="1134"/>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794" w:type="dxa"/>
            <w:gridSpan w:val="2"/>
            <w:vAlign w:val="center"/>
          </w:tcPr>
          <w:p>
            <w:pPr>
              <w:jc w:val="center"/>
              <w:rPr>
                <w:rFonts w:ascii="黑体" w:hAnsi="黑体" w:eastAsia="黑体"/>
              </w:rPr>
            </w:pPr>
            <w:r>
              <w:rPr>
                <w:rFonts w:hint="eastAsia" w:ascii="黑体" w:hAnsi="黑体" w:eastAsia="黑体"/>
              </w:rPr>
              <w:t>排查项目及内容</w:t>
            </w:r>
          </w:p>
        </w:tc>
        <w:tc>
          <w:tcPr>
            <w:tcW w:w="2693" w:type="dxa"/>
            <w:vAlign w:val="center"/>
          </w:tcPr>
          <w:p>
            <w:pPr>
              <w:jc w:val="center"/>
              <w:rPr>
                <w:rFonts w:ascii="黑体" w:hAnsi="黑体" w:eastAsia="黑体"/>
              </w:rPr>
            </w:pPr>
            <w:r>
              <w:rPr>
                <w:rFonts w:hint="eastAsia" w:ascii="黑体" w:hAnsi="黑体" w:eastAsia="黑体"/>
              </w:rPr>
              <w:t>存在的安全风险隐患（要求风险隐患描述具体清晰）</w:t>
            </w:r>
          </w:p>
        </w:tc>
        <w:tc>
          <w:tcPr>
            <w:tcW w:w="851" w:type="dxa"/>
            <w:vAlign w:val="center"/>
          </w:tcPr>
          <w:p>
            <w:pPr>
              <w:jc w:val="center"/>
              <w:rPr>
                <w:rFonts w:ascii="黑体" w:hAnsi="黑体" w:eastAsia="黑体"/>
              </w:rPr>
            </w:pPr>
            <w:r>
              <w:rPr>
                <w:rFonts w:hint="eastAsia" w:ascii="黑体" w:hAnsi="黑体" w:eastAsia="黑体"/>
              </w:rPr>
              <w:t>排查人</w:t>
            </w:r>
          </w:p>
        </w:tc>
        <w:tc>
          <w:tcPr>
            <w:tcW w:w="3543" w:type="dxa"/>
            <w:vAlign w:val="center"/>
          </w:tcPr>
          <w:p>
            <w:pPr>
              <w:jc w:val="center"/>
              <w:rPr>
                <w:rFonts w:ascii="黑体" w:hAnsi="黑体" w:eastAsia="黑体"/>
              </w:rPr>
            </w:pPr>
            <w:r>
              <w:rPr>
                <w:rFonts w:hint="eastAsia" w:ascii="黑体" w:hAnsi="黑体" w:eastAsia="黑体"/>
              </w:rPr>
              <w:t>整改措施（要求措施具体切实可行）</w:t>
            </w:r>
          </w:p>
        </w:tc>
        <w:tc>
          <w:tcPr>
            <w:tcW w:w="1134" w:type="dxa"/>
            <w:vAlign w:val="center"/>
          </w:tcPr>
          <w:p>
            <w:pPr>
              <w:jc w:val="center"/>
              <w:rPr>
                <w:rFonts w:ascii="黑体" w:hAnsi="黑体" w:eastAsia="黑体"/>
              </w:rPr>
            </w:pPr>
            <w:r>
              <w:rPr>
                <w:rFonts w:hint="eastAsia" w:ascii="黑体" w:hAnsi="黑体" w:eastAsia="黑体"/>
              </w:rPr>
              <w:t>整改期限</w:t>
            </w:r>
          </w:p>
        </w:tc>
        <w:tc>
          <w:tcPr>
            <w:tcW w:w="1134" w:type="dxa"/>
            <w:vAlign w:val="center"/>
          </w:tcPr>
          <w:p>
            <w:pPr>
              <w:jc w:val="center"/>
              <w:rPr>
                <w:rFonts w:ascii="黑体" w:hAnsi="黑体" w:eastAsia="黑体"/>
              </w:rPr>
            </w:pPr>
            <w:r>
              <w:rPr>
                <w:rFonts w:hint="eastAsia" w:ascii="黑体" w:hAnsi="黑体" w:eastAsia="黑体"/>
              </w:rPr>
              <w:t>整改完成时间</w:t>
            </w:r>
          </w:p>
        </w:tc>
        <w:tc>
          <w:tcPr>
            <w:tcW w:w="1025" w:type="dxa"/>
            <w:vAlign w:val="center"/>
          </w:tcPr>
          <w:p>
            <w:pPr>
              <w:jc w:val="center"/>
              <w:rPr>
                <w:rFonts w:ascii="黑体" w:hAnsi="黑体" w:eastAsia="黑体"/>
              </w:rPr>
            </w:pPr>
            <w:r>
              <w:rPr>
                <w:rFonts w:hint="eastAsia" w:ascii="黑体" w:hAnsi="黑体" w:eastAsia="黑体"/>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675" w:type="dxa"/>
            <w:vMerge w:val="restart"/>
            <w:vAlign w:val="center"/>
          </w:tcPr>
          <w:p>
            <w:pPr>
              <w:jc w:val="center"/>
            </w:pPr>
            <w:r>
              <w:rPr>
                <w:rFonts w:hint="eastAsia"/>
              </w:rPr>
              <w:t>1.安全责任体系落实情况</w:t>
            </w:r>
          </w:p>
        </w:tc>
        <w:tc>
          <w:tcPr>
            <w:tcW w:w="3119" w:type="dxa"/>
            <w:vAlign w:val="center"/>
          </w:tcPr>
          <w:p>
            <w:r>
              <w:rPr>
                <w:rFonts w:hint="eastAsia"/>
              </w:rPr>
              <w:t>1.是否按“党政同责、一岗双责”“管业务必须管安全”要求，全面压实安全责任；</w:t>
            </w:r>
            <w:r>
              <w:t>安全工作责任体系</w:t>
            </w:r>
            <w:r>
              <w:rPr>
                <w:rFonts w:hint="eastAsia"/>
              </w:rPr>
              <w:t>和管理制度体系是否健全，是否</w:t>
            </w:r>
            <w:r>
              <w:t>定期开展安全风险研判</w:t>
            </w:r>
          </w:p>
        </w:tc>
        <w:tc>
          <w:tcPr>
            <w:tcW w:w="2693" w:type="dxa"/>
            <w:vAlign w:val="center"/>
          </w:tcPr>
          <w:p>
            <w:pPr>
              <w:rPr>
                <w:rFonts w:hint="eastAsia" w:eastAsia="宋体"/>
                <w:lang w:eastAsia="zh-CN"/>
              </w:rPr>
            </w:pPr>
            <w:r>
              <w:rPr>
                <w:rFonts w:hint="eastAsia"/>
                <w:lang w:eastAsia="zh-CN"/>
              </w:rPr>
              <w:t>定期开展，无隐患</w:t>
            </w:r>
          </w:p>
        </w:tc>
        <w:tc>
          <w:tcPr>
            <w:tcW w:w="851" w:type="dxa"/>
          </w:tcPr>
          <w:p>
            <w:pPr>
              <w:rPr>
                <w:rFonts w:hint="eastAsia"/>
                <w:lang w:eastAsia="zh-CN"/>
              </w:rPr>
            </w:pPr>
          </w:p>
          <w:p>
            <w:pPr>
              <w:rPr>
                <w:rFonts w:hint="eastAsia"/>
                <w:lang w:eastAsia="zh-CN"/>
              </w:rPr>
            </w:pPr>
          </w:p>
          <w:p>
            <w:pPr>
              <w:rPr>
                <w:rFonts w:hint="eastAsia" w:eastAsia="宋体"/>
                <w:lang w:eastAsia="zh-CN"/>
              </w:rPr>
            </w:pPr>
            <w:r>
              <w:rPr>
                <w:rFonts w:hint="eastAsia"/>
                <w:lang w:eastAsia="zh-CN"/>
              </w:rPr>
              <w:t>韩职阳</w:t>
            </w:r>
          </w:p>
        </w:tc>
        <w:tc>
          <w:tcPr>
            <w:tcW w:w="3543" w:type="dxa"/>
            <w:vAlign w:val="center"/>
          </w:tcPr>
          <w:p/>
        </w:tc>
        <w:tc>
          <w:tcPr>
            <w:tcW w:w="1134" w:type="dxa"/>
          </w:tcPr>
          <w:p/>
        </w:tc>
        <w:tc>
          <w:tcPr>
            <w:tcW w:w="1134" w:type="dxa"/>
          </w:tcPr>
          <w:p/>
        </w:tc>
        <w:tc>
          <w:tcPr>
            <w:tcW w:w="1025" w:type="dxa"/>
          </w:tcPr>
          <w:p>
            <w:pPr>
              <w:rPr>
                <w:rFonts w:hint="eastAsia"/>
                <w:lang w:eastAsia="zh-CN"/>
              </w:rPr>
            </w:pPr>
          </w:p>
          <w:p>
            <w:pPr>
              <w:rPr>
                <w:rFonts w:hint="eastAsia" w:eastAsia="宋体"/>
                <w:lang w:eastAsia="zh-CN"/>
              </w:rPr>
            </w:pPr>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2.是否明确一名领导负责安全工作并按规定设置安全工作人员</w:t>
            </w:r>
          </w:p>
        </w:tc>
        <w:tc>
          <w:tcPr>
            <w:tcW w:w="2693" w:type="dxa"/>
            <w:vAlign w:val="center"/>
          </w:tcPr>
          <w:p>
            <w:pPr>
              <w:jc w:val="both"/>
            </w:pPr>
            <w:r>
              <w:rPr>
                <w:rFonts w:hint="eastAsia"/>
                <w:lang w:eastAsia="zh-CN"/>
              </w:rPr>
              <w:t>定期开展，无隐患</w:t>
            </w:r>
          </w:p>
        </w:tc>
        <w:tc>
          <w:tcPr>
            <w:tcW w:w="851" w:type="dxa"/>
            <w:vAlign w:val="top"/>
          </w:tcPr>
          <w:p>
            <w:pPr>
              <w:rPr>
                <w:rFonts w:hint="eastAsia"/>
                <w:lang w:eastAsia="zh-CN"/>
              </w:rPr>
            </w:pPr>
          </w:p>
          <w:p>
            <w:pPr>
              <w:rPr>
                <w:rFonts w:hint="eastAsia"/>
                <w:lang w:eastAsia="zh-CN"/>
              </w:rPr>
            </w:pPr>
          </w:p>
          <w:p>
            <w:r>
              <w:rPr>
                <w:rFonts w:hint="eastAsia"/>
                <w:lang w:eastAsia="zh-CN"/>
              </w:rPr>
              <w:t>韩职阳</w:t>
            </w:r>
          </w:p>
        </w:tc>
        <w:tc>
          <w:tcPr>
            <w:tcW w:w="3543" w:type="dxa"/>
            <w:vAlign w:val="center"/>
          </w:tcPr>
          <w:p/>
        </w:tc>
        <w:tc>
          <w:tcPr>
            <w:tcW w:w="1134" w:type="dxa"/>
            <w:vAlign w:val="top"/>
          </w:tcPr>
          <w:p/>
        </w:tc>
        <w:tc>
          <w:tcPr>
            <w:tcW w:w="1134" w:type="dxa"/>
            <w:vAlign w:val="top"/>
          </w:tcPr>
          <w:p/>
        </w:tc>
        <w:tc>
          <w:tcPr>
            <w:tcW w:w="1025" w:type="dxa"/>
            <w:vAlign w:val="top"/>
          </w:tcPr>
          <w:p>
            <w:pPr>
              <w:rPr>
                <w:rFonts w:hint="eastAsia"/>
                <w:lang w:eastAsia="zh-CN"/>
              </w:rPr>
            </w:pPr>
          </w:p>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3.是否建立安全风险隐患排查机制，安全工作台账、问题</w:t>
            </w:r>
            <w:r>
              <w:t>清单、责任清单</w:t>
            </w:r>
            <w:r>
              <w:rPr>
                <w:rFonts w:hint="eastAsia"/>
              </w:rPr>
              <w:t>、整改清单是否完备</w:t>
            </w:r>
            <w:r>
              <w:t xml:space="preserve"> </w:t>
            </w:r>
          </w:p>
        </w:tc>
        <w:tc>
          <w:tcPr>
            <w:tcW w:w="2693" w:type="dxa"/>
            <w:vAlign w:val="center"/>
          </w:tcPr>
          <w:p>
            <w:pPr>
              <w:rPr>
                <w:rFonts w:hint="eastAsia" w:eastAsia="宋体"/>
                <w:lang w:eastAsia="zh-CN"/>
              </w:rPr>
            </w:pPr>
            <w:r>
              <w:rPr>
                <w:rFonts w:hint="eastAsia"/>
                <w:lang w:eastAsia="zh-CN"/>
              </w:rPr>
              <w:t>定期开展，无隐患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4.重要时间、敏感节点是否按规定落实值班制度</w:t>
            </w:r>
          </w:p>
        </w:tc>
        <w:tc>
          <w:tcPr>
            <w:tcW w:w="2693" w:type="dxa"/>
            <w:vAlign w:val="center"/>
          </w:tcPr>
          <w:p>
            <w:r>
              <w:rPr>
                <w:rFonts w:hint="eastAsia"/>
                <w:lang w:eastAsia="zh-CN"/>
              </w:rPr>
              <w:t>定期开展，无隐患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5.是否结合实际制定切实可行的各类应急预案</w:t>
            </w:r>
          </w:p>
        </w:tc>
        <w:tc>
          <w:tcPr>
            <w:tcW w:w="2693" w:type="dxa"/>
            <w:vAlign w:val="center"/>
          </w:tcPr>
          <w:p>
            <w:r>
              <w:rPr>
                <w:rFonts w:hint="eastAsia"/>
                <w:lang w:eastAsia="zh-CN"/>
              </w:rPr>
              <w:t>定期开展，无隐患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trPr>
        <w:tc>
          <w:tcPr>
            <w:tcW w:w="675" w:type="dxa"/>
            <w:vMerge w:val="restart"/>
            <w:vAlign w:val="center"/>
          </w:tcPr>
          <w:p>
            <w:pPr>
              <w:jc w:val="center"/>
            </w:pPr>
            <w:r>
              <w:rPr>
                <w:rFonts w:hint="eastAsia"/>
              </w:rPr>
              <w:t>2.安全教育开展情况</w:t>
            </w:r>
          </w:p>
        </w:tc>
        <w:tc>
          <w:tcPr>
            <w:tcW w:w="3119" w:type="dxa"/>
            <w:vAlign w:val="center"/>
          </w:tcPr>
          <w:p>
            <w:r>
              <w:rPr>
                <w:rFonts w:hint="eastAsia"/>
              </w:rPr>
              <w:t>6.是否集中</w:t>
            </w:r>
            <w:r>
              <w:t>开展</w:t>
            </w:r>
            <w:r>
              <w:rPr>
                <w:rFonts w:hint="eastAsia"/>
              </w:rPr>
              <w:t>实验</w:t>
            </w:r>
            <w:r>
              <w:t>室</w:t>
            </w:r>
            <w:r>
              <w:rPr>
                <w:rFonts w:hint="eastAsia"/>
              </w:rPr>
              <w:t>及危化品</w:t>
            </w:r>
            <w:r>
              <w:t>安全、消防安全、</w:t>
            </w:r>
            <w:r>
              <w:rPr>
                <w:rFonts w:hint="eastAsia"/>
              </w:rPr>
              <w:t>国家安全、治安防范、</w:t>
            </w:r>
            <w:r>
              <w:t>交通安全、</w:t>
            </w:r>
            <w:r>
              <w:rPr>
                <w:rFonts w:hint="eastAsia"/>
              </w:rPr>
              <w:t>食品安全、预防网络诈骗</w:t>
            </w:r>
            <w:r>
              <w:t>等各类</w:t>
            </w:r>
            <w:r>
              <w:rPr>
                <w:rFonts w:hint="eastAsia"/>
              </w:rPr>
              <w:t>安全</w:t>
            </w:r>
            <w:r>
              <w:t>专题教育</w:t>
            </w:r>
          </w:p>
        </w:tc>
        <w:tc>
          <w:tcPr>
            <w:tcW w:w="2693" w:type="dxa"/>
            <w:vAlign w:val="center"/>
          </w:tcPr>
          <w:p>
            <w:pPr>
              <w:rPr>
                <w:rFonts w:hint="eastAsia" w:eastAsia="宋体"/>
                <w:lang w:eastAsia="zh-CN"/>
              </w:rPr>
            </w:pPr>
            <w:r>
              <w:rPr>
                <w:rFonts w:hint="eastAsia"/>
                <w:lang w:eastAsia="zh-CN"/>
              </w:rPr>
              <w:t>定期开展，无隐患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7.是否建立常态化安全教育机制，定期开展应急疏散演练</w:t>
            </w:r>
          </w:p>
        </w:tc>
        <w:tc>
          <w:tcPr>
            <w:tcW w:w="2693" w:type="dxa"/>
            <w:vAlign w:val="center"/>
          </w:tcPr>
          <w:p>
            <w:r>
              <w:rPr>
                <w:rFonts w:hint="eastAsia"/>
                <w:lang w:eastAsia="zh-CN"/>
              </w:rPr>
              <w:t>定期开展，无隐患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Merge w:val="restart"/>
            <w:vAlign w:val="center"/>
          </w:tcPr>
          <w:p>
            <w:pPr>
              <w:jc w:val="center"/>
            </w:pPr>
            <w:r>
              <w:rPr>
                <w:rFonts w:hint="eastAsia"/>
              </w:rPr>
              <w:t>3.实验室及危险化学品安全管理情况</w:t>
            </w:r>
          </w:p>
        </w:tc>
        <w:tc>
          <w:tcPr>
            <w:tcW w:w="3119" w:type="dxa"/>
            <w:vAlign w:val="center"/>
          </w:tcPr>
          <w:p>
            <w:r>
              <w:rPr>
                <w:rFonts w:hint="eastAsia"/>
              </w:rPr>
              <w:t>8.安全责任体系是否健全</w:t>
            </w:r>
          </w:p>
        </w:tc>
        <w:tc>
          <w:tcPr>
            <w:tcW w:w="2693" w:type="dxa"/>
            <w:vAlign w:val="center"/>
          </w:tcPr>
          <w:p>
            <w:pPr>
              <w:rPr>
                <w:rFonts w:hint="eastAsia" w:eastAsia="宋体"/>
                <w:lang w:eastAsia="zh-CN"/>
              </w:rPr>
            </w:pPr>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675" w:type="dxa"/>
            <w:vMerge w:val="continue"/>
            <w:vAlign w:val="center"/>
          </w:tcPr>
          <w:p>
            <w:pPr>
              <w:jc w:val="center"/>
            </w:pPr>
          </w:p>
        </w:tc>
        <w:tc>
          <w:tcPr>
            <w:tcW w:w="3119" w:type="dxa"/>
            <w:vAlign w:val="center"/>
          </w:tcPr>
          <w:p>
            <w:r>
              <w:rPr>
                <w:rFonts w:hint="eastAsia"/>
              </w:rPr>
              <w:t>9.安全管理制度是否完善</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675" w:type="dxa"/>
            <w:vMerge w:val="continue"/>
            <w:vAlign w:val="center"/>
          </w:tcPr>
          <w:p>
            <w:pPr>
              <w:jc w:val="center"/>
            </w:pPr>
          </w:p>
        </w:tc>
        <w:tc>
          <w:tcPr>
            <w:tcW w:w="3119" w:type="dxa"/>
            <w:vAlign w:val="center"/>
          </w:tcPr>
          <w:p>
            <w:r>
              <w:rPr>
                <w:rFonts w:hint="eastAsia"/>
              </w:rPr>
              <w:t>10.安全</w:t>
            </w:r>
            <w:r>
              <w:t>运行机制</w:t>
            </w:r>
            <w:r>
              <w:rPr>
                <w:rFonts w:hint="eastAsia"/>
              </w:rPr>
              <w:t>是否建立</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75" w:type="dxa"/>
            <w:vMerge w:val="continue"/>
            <w:vAlign w:val="center"/>
          </w:tcPr>
          <w:p>
            <w:pPr>
              <w:jc w:val="center"/>
            </w:pPr>
          </w:p>
        </w:tc>
        <w:tc>
          <w:tcPr>
            <w:tcW w:w="3119" w:type="dxa"/>
            <w:vAlign w:val="center"/>
          </w:tcPr>
          <w:p>
            <w:r>
              <w:rPr>
                <w:rFonts w:hint="eastAsia"/>
              </w:rPr>
              <w:t>11.安全管理职责是否明确具体</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12.安全宣传教育与准入制度是否严格落实</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13.个人防护与环境保护措施是否落实</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14.危险源的采购、运输、存储、使用、转移、处置等环节是否规范并全过程监管，建立分布档案和使用台帐</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675" w:type="dxa"/>
            <w:vMerge w:val="continue"/>
            <w:vAlign w:val="center"/>
          </w:tcPr>
          <w:p>
            <w:pPr>
              <w:jc w:val="center"/>
            </w:pPr>
          </w:p>
        </w:tc>
        <w:tc>
          <w:tcPr>
            <w:tcW w:w="3119" w:type="dxa"/>
            <w:vAlign w:val="center"/>
          </w:tcPr>
          <w:p>
            <w:r>
              <w:rPr>
                <w:rFonts w:hint="eastAsia"/>
              </w:rPr>
              <w:t>15.化学废弃物是否按规定存放、处置</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16.是否建立定期安全检查与巡查机制并有效落实</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17.高温高压高速运转设施、气瓶等特种设备是否落实防护措施并定期检验、安全巡查</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18.用电、用气、动火等是否按规范落实防护措施</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19.是否制定安全事故应急处置预案并定期组织演练</w:t>
            </w:r>
          </w:p>
        </w:tc>
        <w:tc>
          <w:tcPr>
            <w:tcW w:w="2693" w:type="dxa"/>
          </w:tcPr>
          <w:p>
            <w:r>
              <w:rPr>
                <w:rFonts w:hint="eastAsia"/>
                <w:lang w:eastAsia="zh-CN"/>
              </w:rPr>
              <w:t>无实验室</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jc w:val="center"/>
            </w:pPr>
            <w:r>
              <w:rPr>
                <w:rFonts w:hint="eastAsia"/>
              </w:rPr>
              <w:t>4.消防安全管理情况</w:t>
            </w:r>
          </w:p>
        </w:tc>
        <w:tc>
          <w:tcPr>
            <w:tcW w:w="3119" w:type="dxa"/>
            <w:vAlign w:val="center"/>
          </w:tcPr>
          <w:p>
            <w:r>
              <w:rPr>
                <w:rFonts w:hint="eastAsia"/>
              </w:rPr>
              <w:t>20.</w:t>
            </w:r>
            <w:r>
              <w:t>建筑物或场所是否依法通过消防验收或消防备案</w:t>
            </w:r>
          </w:p>
        </w:tc>
        <w:tc>
          <w:tcPr>
            <w:tcW w:w="2693" w:type="dxa"/>
          </w:tcPr>
          <w:p>
            <w:pPr>
              <w:rPr>
                <w:rFonts w:hint="eastAsia" w:eastAsia="宋体"/>
                <w:lang w:eastAsia="zh-CN"/>
              </w:rPr>
            </w:pPr>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21.消防设施、器材和消防安全标志是否完好有效并定期维保</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22.电气线路、管路敷设是否符合国家标准并定期检测维保</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23.学生宿舍、教学办公场所、实验室、图书馆是否存在私拉乱接、超负荷用电、违规使用电器的现象</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24.消防值班人员是否按规定配备并持证上岗</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25.防火检查、巡查是否做到定期开展</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26.电气火灾隐患是否及时整改</w:t>
            </w:r>
          </w:p>
        </w:tc>
        <w:tc>
          <w:tcPr>
            <w:tcW w:w="2693" w:type="dxa"/>
          </w:tcPr>
          <w:p>
            <w:r>
              <w:rPr>
                <w:rFonts w:hint="eastAsia"/>
                <w:lang w:eastAsia="zh-CN"/>
              </w:rPr>
              <w:t>无隐患</w:t>
            </w:r>
          </w:p>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75" w:type="dxa"/>
            <w:vMerge w:val="continue"/>
            <w:vAlign w:val="center"/>
          </w:tcPr>
          <w:p>
            <w:pPr>
              <w:jc w:val="center"/>
            </w:pPr>
          </w:p>
        </w:tc>
        <w:tc>
          <w:tcPr>
            <w:tcW w:w="3119" w:type="dxa"/>
            <w:vAlign w:val="center"/>
          </w:tcPr>
          <w:p>
            <w:r>
              <w:rPr>
                <w:rFonts w:hint="eastAsia"/>
              </w:rPr>
              <w:t>27.建筑物是否按规范设置防火分区，疏散通道、安全出口、消防通道是否畅通</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28.消防重点部位是否按要求配备消防器材</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29.是否存在电动自行车违规停放、充电现象</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30.人员密集场所是否存在存储使用易燃易爆危险品</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31.食堂用气、用电、动火是否严格按规范操作，排油烟设施是否定期清洗保持清洁</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jc w:val="center"/>
            </w:pPr>
            <w:r>
              <w:rPr>
                <w:rFonts w:hint="eastAsia"/>
              </w:rPr>
              <w:t>5.治安防控情况</w:t>
            </w:r>
          </w:p>
        </w:tc>
        <w:tc>
          <w:tcPr>
            <w:tcW w:w="3119" w:type="dxa"/>
            <w:vAlign w:val="center"/>
          </w:tcPr>
          <w:p>
            <w:r>
              <w:rPr>
                <w:rFonts w:hint="eastAsia"/>
              </w:rPr>
              <w:t>32.</w:t>
            </w:r>
            <w:r>
              <w:t xml:space="preserve"> </w:t>
            </w:r>
            <w:r>
              <w:rPr>
                <w:rFonts w:hint="eastAsia"/>
              </w:rPr>
              <w:t>是否建立了完善的治安防控管理制度，</w:t>
            </w:r>
            <w:r>
              <w:t>是否按规定配备</w:t>
            </w:r>
            <w:r>
              <w:rPr>
                <w:rFonts w:hint="eastAsia"/>
              </w:rPr>
              <w:t>安全</w:t>
            </w:r>
            <w:r>
              <w:t>管理人员</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675" w:type="dxa"/>
            <w:vMerge w:val="continue"/>
            <w:vAlign w:val="center"/>
          </w:tcPr>
          <w:p>
            <w:pPr>
              <w:jc w:val="center"/>
            </w:pPr>
          </w:p>
        </w:tc>
        <w:tc>
          <w:tcPr>
            <w:tcW w:w="3119" w:type="dxa"/>
            <w:vAlign w:val="center"/>
          </w:tcPr>
          <w:p>
            <w:r>
              <w:rPr>
                <w:rFonts w:hint="eastAsia"/>
              </w:rPr>
              <w:t>33.重点场所</w:t>
            </w:r>
            <w:r>
              <w:t>物防设施是否齐备</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75" w:type="dxa"/>
            <w:vMerge w:val="continue"/>
            <w:vAlign w:val="center"/>
          </w:tcPr>
          <w:p>
            <w:pPr>
              <w:jc w:val="center"/>
            </w:pPr>
          </w:p>
        </w:tc>
        <w:tc>
          <w:tcPr>
            <w:tcW w:w="3119" w:type="dxa"/>
            <w:vAlign w:val="center"/>
          </w:tcPr>
          <w:p>
            <w:r>
              <w:rPr>
                <w:rFonts w:hint="eastAsia"/>
              </w:rPr>
              <w:t>34.重点场所视频监控是否实现全覆盖、图像是否清晰</w:t>
            </w:r>
            <w:r>
              <w:t xml:space="preserve"> </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35.是否开展重点人员摸排管控，严防个人极端行为</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36.组织的大型活动是否按规定落实相关安全防范措施并按规定报备</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675" w:type="dxa"/>
            <w:vMerge w:val="restart"/>
            <w:vAlign w:val="center"/>
          </w:tcPr>
          <w:p>
            <w:pPr>
              <w:jc w:val="center"/>
            </w:pPr>
            <w:r>
              <w:rPr>
                <w:rFonts w:hint="eastAsia"/>
              </w:rPr>
              <w:t>6.食品安全管理情况</w:t>
            </w:r>
          </w:p>
        </w:tc>
        <w:tc>
          <w:tcPr>
            <w:tcW w:w="3119" w:type="dxa"/>
            <w:vAlign w:val="center"/>
          </w:tcPr>
          <w:p>
            <w:r>
              <w:rPr>
                <w:rFonts w:hint="eastAsia"/>
              </w:rPr>
              <w:t>37.</w:t>
            </w:r>
            <w:r>
              <w:t>食品安全负责制是否全面落实</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675" w:type="dxa"/>
            <w:vMerge w:val="continue"/>
            <w:vAlign w:val="center"/>
          </w:tcPr>
          <w:p>
            <w:pPr>
              <w:jc w:val="center"/>
            </w:pPr>
          </w:p>
        </w:tc>
        <w:tc>
          <w:tcPr>
            <w:tcW w:w="3119" w:type="dxa"/>
            <w:vAlign w:val="center"/>
          </w:tcPr>
          <w:p>
            <w:r>
              <w:rPr>
                <w:rFonts w:hint="eastAsia"/>
              </w:rPr>
              <w:t>38.食品安全管理制度是否健全并有效落实</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39.食品安全隐患排查是否定期开展</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675" w:type="dxa"/>
            <w:vMerge w:val="continue"/>
            <w:vAlign w:val="center"/>
          </w:tcPr>
          <w:p>
            <w:pPr>
              <w:jc w:val="center"/>
            </w:pPr>
          </w:p>
        </w:tc>
        <w:tc>
          <w:tcPr>
            <w:tcW w:w="3119" w:type="dxa"/>
            <w:vAlign w:val="center"/>
          </w:tcPr>
          <w:p>
            <w:r>
              <w:rPr>
                <w:rFonts w:hint="eastAsia"/>
              </w:rPr>
              <w:t>40.食品采购追溯体系是否建立</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41.是否落实食品原料采购、加工制作、清洗消毒、成品分装、配送、留样等环节全过程监管是否落实</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75" w:type="dxa"/>
            <w:vMerge w:val="continue"/>
            <w:vAlign w:val="center"/>
          </w:tcPr>
          <w:p>
            <w:pPr>
              <w:jc w:val="center"/>
            </w:pPr>
          </w:p>
        </w:tc>
        <w:tc>
          <w:tcPr>
            <w:tcW w:w="3119" w:type="dxa"/>
            <w:vAlign w:val="center"/>
          </w:tcPr>
          <w:p>
            <w:r>
              <w:rPr>
                <w:rFonts w:hint="eastAsia"/>
              </w:rPr>
              <w:t>42.食品安全监督制度是否按规定落实</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jc w:val="center"/>
            </w:pPr>
            <w:r>
              <w:rPr>
                <w:rFonts w:hint="eastAsia"/>
              </w:rPr>
              <w:t>7.校车及交通安全管理情况</w:t>
            </w:r>
          </w:p>
        </w:tc>
        <w:tc>
          <w:tcPr>
            <w:tcW w:w="3119" w:type="dxa"/>
            <w:vAlign w:val="center"/>
          </w:tcPr>
          <w:p>
            <w:r>
              <w:rPr>
                <w:rFonts w:hint="eastAsia"/>
              </w:rPr>
              <w:t>43.校车管理制度是否健全，接送学生车辆是否全部取得校车运营资格，驾驶员是否取得校车驾驶资格</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44.是否存在拼装车、三轮车、农用车等非法接送学生现象</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45.相关部门是否定期开展非法接送学生车辆整治</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46.校车是否按规定线路行驶且行经线路无危桥、危险路段</w:t>
            </w:r>
            <w:r>
              <w:rPr>
                <w:rFonts w:hint="eastAsia"/>
                <w:lang w:eastAsia="zh-CN"/>
              </w:rPr>
              <w:t>无</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47.校车是否安装随车视频采集设备且无超速超载问题</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48.随校车照管人员是否认真履行职责指导学生安全乘车</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49.</w:t>
            </w:r>
            <w:r>
              <w:t>上学放学高峰期间校门口交通是否有序</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50.校园内交通设施、标志、标线是否健全</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675" w:type="dxa"/>
            <w:vMerge w:val="continue"/>
            <w:vAlign w:val="center"/>
          </w:tcPr>
          <w:p>
            <w:pPr>
              <w:jc w:val="center"/>
            </w:pPr>
          </w:p>
        </w:tc>
        <w:tc>
          <w:tcPr>
            <w:tcW w:w="3119" w:type="dxa"/>
            <w:vAlign w:val="center"/>
          </w:tcPr>
          <w:p>
            <w:r>
              <w:rPr>
                <w:rFonts w:hint="eastAsia"/>
              </w:rPr>
              <w:t>51.</w:t>
            </w:r>
            <w:r>
              <w:t>校园内交通管理是否有序、安全</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52.组织的师生集体外出活动是否经严格审批并落实相关安全防范措施</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jc w:val="center"/>
            </w:pPr>
            <w:r>
              <w:rPr>
                <w:rFonts w:hint="eastAsia"/>
              </w:rPr>
              <w:t>8.建筑与施工安全管理情况</w:t>
            </w:r>
          </w:p>
        </w:tc>
        <w:tc>
          <w:tcPr>
            <w:tcW w:w="3119" w:type="dxa"/>
            <w:vAlign w:val="center"/>
          </w:tcPr>
          <w:p>
            <w:r>
              <w:rPr>
                <w:rFonts w:hint="eastAsia"/>
              </w:rPr>
              <w:t>53.</w:t>
            </w:r>
            <w:r>
              <w:t>学校</w:t>
            </w:r>
            <w:r>
              <w:rPr>
                <w:rFonts w:hint="eastAsia"/>
              </w:rPr>
              <w:t>建筑（含附属设施）</w:t>
            </w:r>
            <w:r>
              <w:t>安全状况是否定期排查</w:t>
            </w:r>
            <w:r>
              <w:rPr>
                <w:rFonts w:hint="eastAsia"/>
              </w:rPr>
              <w:t>监测</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54.</w:t>
            </w:r>
            <w:r>
              <w:t>是否存在违规使用D级危房</w:t>
            </w:r>
            <w:r>
              <w:rPr>
                <w:rFonts w:hint="eastAsia"/>
              </w:rPr>
              <w:t>或存在危险房屋的</w:t>
            </w:r>
            <w:r>
              <w:t>问题</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55.</w:t>
            </w:r>
            <w:r>
              <w:t>对低洼地带、地质灾害点、易滑坡地段、易遭受雷击、基础沉陷等区域是否采取了</w:t>
            </w:r>
            <w:r>
              <w:rPr>
                <w:rFonts w:hint="eastAsia"/>
              </w:rPr>
              <w:t>有效</w:t>
            </w:r>
            <w:r>
              <w:t>的预防措施</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56.校园内高地、水池、河湖、楼梯等易发生坠落、溺水、挤踏等事故场所、部位是否全部设置防</w:t>
            </w:r>
            <w:r>
              <w:rPr>
                <w:rFonts w:hint="eastAsia"/>
                <w:lang w:eastAsia="zh-CN"/>
              </w:rPr>
              <w:t>无</w:t>
            </w:r>
            <w:r>
              <w:rPr>
                <w:rFonts w:hint="eastAsia"/>
              </w:rPr>
              <w:t>护设施和警示标志</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57.各类活动器材、器械、设施是否存在安全隐患</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58.学校在建项目施工场所是否严格实行隔离管理，落实安全管理措施</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59.应对极端天气、旱涝灾害机制措施是否健全完善</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jc w:val="center"/>
            </w:pPr>
            <w:r>
              <w:rPr>
                <w:rFonts w:hint="eastAsia"/>
              </w:rPr>
              <w:t>9.实习实训安全管理情况</w:t>
            </w:r>
          </w:p>
        </w:tc>
        <w:tc>
          <w:tcPr>
            <w:tcW w:w="3119" w:type="dxa"/>
            <w:vAlign w:val="center"/>
          </w:tcPr>
          <w:p>
            <w:r>
              <w:rPr>
                <w:rFonts w:hint="eastAsia"/>
              </w:rPr>
              <w:t>60.学校和实习单位是否对实习学生进行必要的安全教育</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61.学校和实习单位是否严格执行国家和地方安全生产及职业卫生有关规定</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62.学校是否督促指导实习单位健全安全生产责任制，严格执行安全生产标准，健全安全生产规章制度和操作规程</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63.实习单位是否配备必要安全保障器材和劳动保护用品</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jc w:val="center"/>
            </w:pPr>
          </w:p>
        </w:tc>
        <w:tc>
          <w:tcPr>
            <w:tcW w:w="3119" w:type="dxa"/>
            <w:vAlign w:val="center"/>
          </w:tcPr>
          <w:p>
            <w:r>
              <w:rPr>
                <w:rFonts w:hint="eastAsia"/>
              </w:rPr>
              <w:t>64.实习单位是否按规定制定安全生产事故应急救援预案</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675" w:type="dxa"/>
            <w:vMerge w:val="restart"/>
            <w:vAlign w:val="center"/>
          </w:tcPr>
          <w:p>
            <w:pPr>
              <w:jc w:val="center"/>
            </w:pPr>
            <w:r>
              <w:rPr>
                <w:rFonts w:hint="eastAsia"/>
              </w:rPr>
              <w:t>10.其他安全管理情况</w:t>
            </w:r>
          </w:p>
        </w:tc>
        <w:tc>
          <w:tcPr>
            <w:tcW w:w="3119" w:type="dxa"/>
            <w:vAlign w:val="center"/>
          </w:tcPr>
          <w:p>
            <w:r>
              <w:rPr>
                <w:rFonts w:hint="eastAsia"/>
              </w:rPr>
              <w:t>65.锅炉和电梯等特种设备是否按规定报相关部门备案，并依法定期检验、开展安全巡查</w:t>
            </w:r>
          </w:p>
        </w:tc>
        <w:tc>
          <w:tcPr>
            <w:tcW w:w="2693" w:type="dxa"/>
          </w:tcPr>
          <w:p>
            <w:pPr>
              <w:rPr>
                <w:rFonts w:hint="eastAsia" w:eastAsia="宋体"/>
                <w:lang w:eastAsia="zh-CN"/>
              </w:rPr>
            </w:pPr>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675" w:type="dxa"/>
            <w:vMerge w:val="continue"/>
          </w:tcPr>
          <w:p/>
        </w:tc>
        <w:tc>
          <w:tcPr>
            <w:tcW w:w="3119" w:type="dxa"/>
            <w:vAlign w:val="center"/>
          </w:tcPr>
          <w:p>
            <w:r>
              <w:rPr>
                <w:rFonts w:hint="eastAsia"/>
              </w:rPr>
              <w:t>66.特种设备操作人员是否做到全部持证上岗</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675" w:type="dxa"/>
            <w:vMerge w:val="continue"/>
          </w:tcPr>
          <w:p/>
        </w:tc>
        <w:tc>
          <w:tcPr>
            <w:tcW w:w="3119" w:type="dxa"/>
            <w:vAlign w:val="center"/>
          </w:tcPr>
          <w:p>
            <w:r>
              <w:rPr>
                <w:rFonts w:hint="eastAsia"/>
              </w:rPr>
              <w:t>67.其他安全隐患情况</w:t>
            </w:r>
          </w:p>
        </w:tc>
        <w:tc>
          <w:tcPr>
            <w:tcW w:w="2693" w:type="dxa"/>
          </w:tcPr>
          <w:p>
            <w:r>
              <w:rPr>
                <w:rFonts w:hint="eastAsia"/>
                <w:lang w:eastAsia="zh-CN"/>
              </w:rPr>
              <w:t>无隐患</w:t>
            </w:r>
          </w:p>
        </w:tc>
        <w:tc>
          <w:tcPr>
            <w:tcW w:w="851" w:type="dxa"/>
          </w:tcPr>
          <w:p>
            <w:r>
              <w:rPr>
                <w:rFonts w:hint="eastAsia"/>
                <w:lang w:eastAsia="zh-CN"/>
              </w:rPr>
              <w:t>韩职阳</w:t>
            </w:r>
          </w:p>
        </w:tc>
        <w:tc>
          <w:tcPr>
            <w:tcW w:w="3543" w:type="dxa"/>
          </w:tcPr>
          <w:p/>
        </w:tc>
        <w:tc>
          <w:tcPr>
            <w:tcW w:w="1134" w:type="dxa"/>
          </w:tcPr>
          <w:p/>
        </w:tc>
        <w:tc>
          <w:tcPr>
            <w:tcW w:w="1134" w:type="dxa"/>
          </w:tcPr>
          <w:p/>
        </w:tc>
        <w:tc>
          <w:tcPr>
            <w:tcW w:w="1025" w:type="dxa"/>
          </w:tcPr>
          <w:p>
            <w:r>
              <w:rPr>
                <w:rFonts w:hint="eastAsia"/>
                <w:lang w:eastAsia="zh-CN"/>
              </w:rPr>
              <w:t>王博</w:t>
            </w:r>
          </w:p>
        </w:tc>
      </w:tr>
    </w:tbl>
    <w:p/>
    <w:p>
      <w:pPr>
        <w:adjustRightInd w:val="0"/>
        <w:snapToGrid w:val="0"/>
        <w:spacing w:line="560" w:lineRule="exact"/>
        <w:ind w:right="55" w:rightChars="26"/>
        <w:jc w:val="center"/>
        <w:outlineLvl w:val="0"/>
        <w:rPr>
          <w:rFonts w:eastAsia="方正小标宋简体"/>
          <w:sz w:val="44"/>
        </w:rPr>
      </w:pPr>
    </w:p>
    <w:p>
      <w:pPr>
        <w:adjustRightInd w:val="0"/>
        <w:snapToGrid w:val="0"/>
        <w:spacing w:line="560" w:lineRule="exact"/>
        <w:ind w:right="55" w:rightChars="26"/>
        <w:jc w:val="center"/>
        <w:outlineLvl w:val="0"/>
        <w:rPr>
          <w:rFonts w:eastAsia="方正小标宋简体"/>
          <w:sz w:val="44"/>
        </w:rPr>
      </w:pPr>
    </w:p>
    <w:p>
      <w:pPr>
        <w:adjustRightInd w:val="0"/>
        <w:snapToGrid w:val="0"/>
        <w:spacing w:line="560" w:lineRule="exact"/>
        <w:ind w:right="55" w:rightChars="26"/>
        <w:jc w:val="center"/>
        <w:outlineLvl w:val="0"/>
        <w:rPr>
          <w:rFonts w:eastAsia="方正小标宋简体"/>
          <w:sz w:val="44"/>
        </w:rPr>
      </w:pPr>
    </w:p>
    <w:p>
      <w:pPr>
        <w:adjustRightInd w:val="0"/>
        <w:snapToGrid w:val="0"/>
        <w:spacing w:line="560" w:lineRule="exact"/>
        <w:ind w:right="55" w:rightChars="26"/>
        <w:jc w:val="center"/>
        <w:outlineLvl w:val="0"/>
        <w:rPr>
          <w:rFonts w:eastAsia="方正小标宋简体"/>
          <w:sz w:val="44"/>
        </w:rPr>
      </w:pPr>
    </w:p>
    <w:p>
      <w:pPr>
        <w:adjustRightInd w:val="0"/>
        <w:snapToGrid w:val="0"/>
        <w:spacing w:line="560" w:lineRule="exact"/>
        <w:ind w:right="55" w:rightChars="26"/>
        <w:jc w:val="center"/>
        <w:outlineLvl w:val="0"/>
        <w:rPr>
          <w:rFonts w:eastAsia="方正小标宋简体"/>
          <w:sz w:val="44"/>
        </w:rPr>
      </w:pPr>
    </w:p>
    <w:p>
      <w:pPr>
        <w:ind w:firstLine="435"/>
        <w:rPr>
          <w:rFonts w:ascii="仿宋_GB2312" w:eastAsia="仿宋_GB2312"/>
          <w:sz w:val="28"/>
          <w:szCs w:val="2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533"/>
    <w:rsid w:val="00041F30"/>
    <w:rsid w:val="0006470C"/>
    <w:rsid w:val="000A37B1"/>
    <w:rsid w:val="000B5035"/>
    <w:rsid w:val="000E19D9"/>
    <w:rsid w:val="00161F0E"/>
    <w:rsid w:val="00165E01"/>
    <w:rsid w:val="0018089B"/>
    <w:rsid w:val="001C208C"/>
    <w:rsid w:val="001E6EA7"/>
    <w:rsid w:val="00225ABD"/>
    <w:rsid w:val="0025666E"/>
    <w:rsid w:val="00260500"/>
    <w:rsid w:val="00360041"/>
    <w:rsid w:val="003A2E49"/>
    <w:rsid w:val="003A6256"/>
    <w:rsid w:val="003A76F5"/>
    <w:rsid w:val="003B7560"/>
    <w:rsid w:val="003C279F"/>
    <w:rsid w:val="003F362A"/>
    <w:rsid w:val="0040133A"/>
    <w:rsid w:val="00402A2C"/>
    <w:rsid w:val="00425297"/>
    <w:rsid w:val="00425E6D"/>
    <w:rsid w:val="00427A93"/>
    <w:rsid w:val="004554EA"/>
    <w:rsid w:val="004A397D"/>
    <w:rsid w:val="004B4E55"/>
    <w:rsid w:val="00511DBE"/>
    <w:rsid w:val="00613611"/>
    <w:rsid w:val="006570F6"/>
    <w:rsid w:val="006D1B54"/>
    <w:rsid w:val="006D6897"/>
    <w:rsid w:val="006D6CBE"/>
    <w:rsid w:val="006E1E67"/>
    <w:rsid w:val="00700CA8"/>
    <w:rsid w:val="00732747"/>
    <w:rsid w:val="00746FDB"/>
    <w:rsid w:val="00801E8C"/>
    <w:rsid w:val="00807C07"/>
    <w:rsid w:val="0084367A"/>
    <w:rsid w:val="00844624"/>
    <w:rsid w:val="008E5C29"/>
    <w:rsid w:val="009046A6"/>
    <w:rsid w:val="00924533"/>
    <w:rsid w:val="009623E3"/>
    <w:rsid w:val="00A20B7C"/>
    <w:rsid w:val="00A22DE1"/>
    <w:rsid w:val="00A5087F"/>
    <w:rsid w:val="00A54BA1"/>
    <w:rsid w:val="00A57201"/>
    <w:rsid w:val="00A6618E"/>
    <w:rsid w:val="00AA41E8"/>
    <w:rsid w:val="00AC5203"/>
    <w:rsid w:val="00AF21D2"/>
    <w:rsid w:val="00B1673A"/>
    <w:rsid w:val="00B5698F"/>
    <w:rsid w:val="00C044AF"/>
    <w:rsid w:val="00C218FF"/>
    <w:rsid w:val="00CC5AC1"/>
    <w:rsid w:val="00D03155"/>
    <w:rsid w:val="00D40D02"/>
    <w:rsid w:val="00DC7FB8"/>
    <w:rsid w:val="00E11FE8"/>
    <w:rsid w:val="00E755E4"/>
    <w:rsid w:val="00E966FF"/>
    <w:rsid w:val="00EE3E19"/>
    <w:rsid w:val="00EE6D1F"/>
    <w:rsid w:val="00F12A6B"/>
    <w:rsid w:val="00F22941"/>
    <w:rsid w:val="00F64D50"/>
    <w:rsid w:val="00FA44FB"/>
    <w:rsid w:val="249560F0"/>
    <w:rsid w:val="5D035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0"/>
    <w:uiPriority w:val="0"/>
    <w:pPr>
      <w:ind w:left="100" w:leftChars="2500"/>
    </w:pPr>
  </w:style>
  <w:style w:type="paragraph" w:styleId="3">
    <w:name w:val="Balloon Text"/>
    <w:basedOn w:val="1"/>
    <w:link w:val="12"/>
    <w:semiHidden/>
    <w:unhideWhenUsed/>
    <w:uiPriority w:val="0"/>
    <w:rPr>
      <w:sz w:val="18"/>
      <w:szCs w:val="18"/>
    </w:rPr>
  </w:style>
  <w:style w:type="paragraph" w:styleId="4">
    <w:name w:val="footer"/>
    <w:basedOn w:val="1"/>
    <w:link w:val="14"/>
    <w:unhideWhenUsed/>
    <w:qFormat/>
    <w:uiPriority w:val="0"/>
    <w:pPr>
      <w:tabs>
        <w:tab w:val="center" w:pos="4153"/>
        <w:tab w:val="right" w:pos="8306"/>
      </w:tabs>
      <w:snapToGrid w:val="0"/>
      <w:jc w:val="left"/>
    </w:pPr>
    <w:rPr>
      <w:sz w:val="18"/>
      <w:szCs w:val="18"/>
    </w:rPr>
  </w:style>
  <w:style w:type="paragraph" w:styleId="5">
    <w:name w:val="header"/>
    <w:basedOn w:val="1"/>
    <w:link w:val="13"/>
    <w:unhideWhenUsed/>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uiPriority w:val="0"/>
    <w:rPr>
      <w:color w:val="0000FF" w:themeColor="hyperlink"/>
      <w:u w:val="single"/>
      <w14:textFill>
        <w14:solidFill>
          <w14:schemeClr w14:val="hlink"/>
        </w14:solidFill>
      </w14:textFill>
    </w:rPr>
  </w:style>
  <w:style w:type="character" w:customStyle="1" w:styleId="10">
    <w:name w:val="日期 Char"/>
    <w:basedOn w:val="8"/>
    <w:link w:val="2"/>
    <w:uiPriority w:val="0"/>
    <w:rPr>
      <w:kern w:val="2"/>
      <w:sz w:val="21"/>
      <w:szCs w:val="24"/>
    </w:rPr>
  </w:style>
  <w:style w:type="paragraph" w:styleId="11">
    <w:name w:val="List Paragraph"/>
    <w:basedOn w:val="1"/>
    <w:qFormat/>
    <w:uiPriority w:val="34"/>
    <w:pPr>
      <w:ind w:firstLine="420" w:firstLineChars="200"/>
    </w:pPr>
  </w:style>
  <w:style w:type="character" w:customStyle="1" w:styleId="12">
    <w:name w:val="批注框文本 Char"/>
    <w:basedOn w:val="8"/>
    <w:link w:val="3"/>
    <w:semiHidden/>
    <w:uiPriority w:val="0"/>
    <w:rPr>
      <w:kern w:val="2"/>
      <w:sz w:val="18"/>
      <w:szCs w:val="18"/>
    </w:rPr>
  </w:style>
  <w:style w:type="character" w:customStyle="1" w:styleId="13">
    <w:name w:val="页眉 Char"/>
    <w:basedOn w:val="8"/>
    <w:link w:val="5"/>
    <w:qFormat/>
    <w:uiPriority w:val="0"/>
    <w:rPr>
      <w:kern w:val="2"/>
      <w:sz w:val="18"/>
      <w:szCs w:val="18"/>
    </w:rPr>
  </w:style>
  <w:style w:type="character" w:customStyle="1" w:styleId="14">
    <w:name w:val="页脚 Char"/>
    <w:basedOn w:val="8"/>
    <w:link w:val="4"/>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www.microsoft.com</Company>
  <Pages>8</Pages>
  <Words>418</Words>
  <Characters>2389</Characters>
  <Lines>19</Lines>
  <Paragraphs>5</Paragraphs>
  <TotalTime>9</TotalTime>
  <ScaleCrop>false</ScaleCrop>
  <LinksUpToDate>false</LinksUpToDate>
  <CharactersWithSpaces>2802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2021-03-12T01:26:00Z</dcterms:created>
  <dc:creator>刘海涛</dc:creator>
  <cp:lastModifiedBy>Hou</cp:lastModifiedBy>
  <cp:lastPrinted>2021-03-19T07:00:00Z</cp:lastPrinted>
  <dcterms:modified xsi:type="dcterms:W3CDTF">2021-06-29T02:23:02Z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2AE21471626F4E51838ABDA79C8F0D09</vt:lpwstr>
  </property>
</Properties>
</file>